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Omluvenka docházky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DS-10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dítěte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Nepřítomnost od - do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Předpokládaný návrat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Odhlášení stravy</w:t>
            </w:r>
          </w:p>
        </w:tc>
        <w:tc>
          <w:tcPr>
            <w:tcW w:type="dxa" w:w="4986"/>
          </w:tcPr>
          <w:p>
            <w:r>
              <w:t>ANO □   NE □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a podpis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Pravidla omlouvání, stravného a úhrady při absenci se řídí smlouvou a aktuálními podmínkami.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DS-10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